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28" w:rsidRPr="00F64CE9" w:rsidRDefault="00ED7FE3" w:rsidP="00ED7FE3">
      <w:pPr>
        <w:jc w:val="center"/>
        <w:rPr>
          <w:rFonts w:ascii="Adobe Caslon Pro" w:hAnsi="Adobe Caslon Pro" w:cs="Adobe Hebrew"/>
          <w:b/>
          <w:sz w:val="36"/>
          <w:szCs w:val="36"/>
        </w:rPr>
      </w:pPr>
      <w:bookmarkStart w:id="0" w:name="_GoBack"/>
      <w:bookmarkEnd w:id="0"/>
      <w:r w:rsidRPr="00F64CE9">
        <w:rPr>
          <w:rFonts w:ascii="Adobe Caslon Pro" w:hAnsi="Adobe Caslon Pro" w:cs="Adobe Hebrew"/>
          <w:b/>
          <w:sz w:val="36"/>
          <w:szCs w:val="36"/>
        </w:rPr>
        <w:t xml:space="preserve">Unit 2 Classroom Teachers </w:t>
      </w:r>
      <w:r w:rsidR="00F64CE9">
        <w:rPr>
          <w:rFonts w:ascii="Adobe Caslon Pro" w:hAnsi="Adobe Caslon Pro" w:cs="Adobe Hebrew"/>
          <w:b/>
          <w:sz w:val="36"/>
          <w:szCs w:val="36"/>
        </w:rPr>
        <w:t xml:space="preserve">&amp; Staff </w:t>
      </w:r>
      <w:r w:rsidRPr="00F64CE9">
        <w:rPr>
          <w:rFonts w:ascii="Adobe Caslon Pro" w:hAnsi="Adobe Caslon Pro" w:cs="Adobe Hebrew"/>
          <w:b/>
          <w:sz w:val="36"/>
          <w:szCs w:val="36"/>
        </w:rPr>
        <w:t>Scholarships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257149"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  <w:t>Eligibility</w:t>
            </w: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872991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257149">
              <w:rPr>
                <w:rFonts w:ascii="Adobe Caslon Pro" w:eastAsia="Times New Roman" w:hAnsi="Adobe Caslon Pro" w:cs="Times New Roman"/>
                <w:sz w:val="24"/>
                <w:szCs w:val="24"/>
              </w:rPr>
              <w:t>Any He</w:t>
            </w:r>
            <w:r w:rsidR="00AE24B0"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rscher High School senior who is continuing their education through a coll</w:t>
            </w:r>
            <w:r w:rsidR="00872991">
              <w:rPr>
                <w:rFonts w:ascii="Adobe Caslon Pro" w:eastAsia="Times New Roman" w:hAnsi="Adobe Caslon Pro" w:cs="Times New Roman"/>
                <w:sz w:val="24"/>
                <w:szCs w:val="24"/>
              </w:rPr>
              <w:t>e</w:t>
            </w:r>
            <w:r w:rsidR="00AE24B0"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 xml:space="preserve">ge/university or pursuing a career in the vocational or technical field. </w:t>
            </w:r>
          </w:p>
        </w:tc>
      </w:tr>
      <w:tr w:rsidR="00257149" w:rsidRPr="00257149" w:rsidTr="00AE24B0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</w:pPr>
            <w:r w:rsidRPr="00257149"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  <w:t>Amount of Scholarship</w:t>
            </w: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AE24B0" w:rsidP="00AE24B0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Four $1000 scholarships will be awarded to four HHS seniors.</w:t>
            </w:r>
          </w:p>
        </w:tc>
      </w:tr>
      <w:tr w:rsidR="00257149" w:rsidRPr="00257149" w:rsidTr="00AE24B0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</w:pPr>
            <w:r w:rsidRPr="00257149"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  <w:t>Selection Process</w:t>
            </w: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537A0D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257149">
              <w:rPr>
                <w:rFonts w:ascii="Adobe Caslon Pro" w:eastAsia="Times New Roman" w:hAnsi="Adobe Caslon Pro" w:cs="Times New Roman"/>
                <w:sz w:val="24"/>
                <w:szCs w:val="24"/>
              </w:rPr>
              <w:t>A</w:t>
            </w:r>
            <w:r w:rsidR="00AE24B0"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wards will be determined by a selection</w:t>
            </w:r>
            <w:r w:rsidRPr="00257149">
              <w:rPr>
                <w:rFonts w:ascii="Adobe Caslon Pro" w:eastAsia="Times New Roman" w:hAnsi="Adobe Caslon Pro" w:cs="Times New Roman"/>
                <w:sz w:val="24"/>
                <w:szCs w:val="24"/>
              </w:rPr>
              <w:t xml:space="preserve"> committee </w:t>
            </w:r>
            <w:r w:rsidR="00AE24B0"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 xml:space="preserve">comprised of current HCUSD2 educators and staff.  </w:t>
            </w:r>
            <w:r w:rsidR="00537A0D"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 xml:space="preserve">Generally the money will be awarded as scholarship aid, but other grants for related purposes may be considered for various types of study or career advancements beyond high school.  </w:t>
            </w:r>
          </w:p>
        </w:tc>
      </w:tr>
      <w:tr w:rsidR="00257149" w:rsidRPr="00257149" w:rsidTr="00AE24B0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</w:pPr>
            <w:r w:rsidRPr="00257149"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  <w:t>Requirements to Apply</w:t>
            </w:r>
          </w:p>
        </w:tc>
      </w:tr>
      <w:tr w:rsidR="00257149" w:rsidRPr="00257149" w:rsidTr="00AE24B0">
        <w:tc>
          <w:tcPr>
            <w:tcW w:w="9360" w:type="dxa"/>
            <w:hideMark/>
          </w:tcPr>
          <w:p w:rsidR="00537A0D" w:rsidRPr="00F64CE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257149">
              <w:rPr>
                <w:rFonts w:ascii="Adobe Caslon Pro" w:eastAsia="Times New Roman" w:hAnsi="Adobe Caslon Pro" w:cs="Times New Roman"/>
                <w:sz w:val="24"/>
                <w:szCs w:val="24"/>
              </w:rPr>
              <w:t>Each applicant is required to submit</w:t>
            </w:r>
            <w:r w:rsidR="00537A0D"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:</w:t>
            </w:r>
          </w:p>
          <w:p w:rsidR="00537A0D" w:rsidRPr="00F64CE9" w:rsidRDefault="00537A0D" w:rsidP="00537A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Official Transcripts</w:t>
            </w:r>
          </w:p>
          <w:p w:rsidR="00257149" w:rsidRPr="00F64CE9" w:rsidRDefault="00537A0D" w:rsidP="00537A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An Essay Addressing the Following:</w:t>
            </w:r>
          </w:p>
          <w:p w:rsidR="00537A0D" w:rsidRPr="00F64CE9" w:rsidRDefault="00537A0D" w:rsidP="00537A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How has being a student in the Herscher School district impacted your life?</w:t>
            </w:r>
          </w:p>
          <w:p w:rsidR="00537A0D" w:rsidRPr="00F64CE9" w:rsidRDefault="00537A0D" w:rsidP="00537A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What are your career goals?</w:t>
            </w:r>
          </w:p>
          <w:p w:rsidR="00F64CE9" w:rsidRPr="00F64CE9" w:rsidRDefault="00F64CE9" w:rsidP="00537A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How are you going to give back to your community?</w:t>
            </w:r>
          </w:p>
          <w:p w:rsidR="00537A0D" w:rsidRPr="00F64CE9" w:rsidRDefault="00537A0D" w:rsidP="00F64CE9">
            <w:pPr>
              <w:spacing w:before="100" w:beforeAutospacing="1" w:after="0" w:line="240" w:lineRule="auto"/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</w:pPr>
            <w:r w:rsidRPr="00F64CE9"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  <w:t>Return the Completed Application</w:t>
            </w:r>
          </w:p>
          <w:p w:rsidR="00F64CE9" w:rsidRPr="00F64CE9" w:rsidRDefault="00F64CE9" w:rsidP="00F64CE9">
            <w:pPr>
              <w:spacing w:after="0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Herscher High School Guidance Department</w:t>
            </w:r>
          </w:p>
          <w:p w:rsidR="00F64CE9" w:rsidRPr="00F64CE9" w:rsidRDefault="00F64CE9" w:rsidP="00F64CE9">
            <w:pPr>
              <w:spacing w:after="0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 xml:space="preserve">Attention Unit 2 Classroom Teachers </w:t>
            </w:r>
            <w:r w:rsidR="00872991">
              <w:rPr>
                <w:rFonts w:ascii="Adobe Caslon Pro" w:eastAsia="Times New Roman" w:hAnsi="Adobe Caslon Pro" w:cs="Times New Roman"/>
                <w:sz w:val="24"/>
                <w:szCs w:val="24"/>
              </w:rPr>
              <w:t xml:space="preserve">&amp; Staff </w:t>
            </w:r>
            <w:r w:rsidRPr="00F64CE9">
              <w:rPr>
                <w:rFonts w:ascii="Adobe Caslon Pro" w:eastAsia="Times New Roman" w:hAnsi="Adobe Caslon Pro" w:cs="Times New Roman"/>
                <w:sz w:val="24"/>
                <w:szCs w:val="24"/>
              </w:rPr>
              <w:t>Scholarship Committee</w:t>
            </w:r>
          </w:p>
          <w:p w:rsidR="00F64CE9" w:rsidRPr="00F64CE9" w:rsidRDefault="00F64CE9" w:rsidP="00F64CE9">
            <w:pPr>
              <w:spacing w:before="100" w:beforeAutospacing="1" w:after="0" w:line="240" w:lineRule="auto"/>
              <w:jc w:val="center"/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</w:pPr>
            <w:r w:rsidRPr="00F64CE9">
              <w:rPr>
                <w:rFonts w:ascii="Adobe Caslon Pro" w:eastAsia="Times New Roman" w:hAnsi="Adobe Caslon Pro" w:cs="Times New Roman"/>
                <w:b/>
                <w:sz w:val="28"/>
                <w:szCs w:val="28"/>
              </w:rPr>
              <w:t>Deadline for all applicants is April 1</w:t>
            </w:r>
            <w:r w:rsidRPr="00F64CE9">
              <w:rPr>
                <w:rFonts w:ascii="Adobe Caslon Pro" w:eastAsia="Times New Roman" w:hAnsi="Adobe Caslon Pro" w:cs="Times New Roman"/>
                <w:b/>
                <w:sz w:val="28"/>
                <w:szCs w:val="28"/>
                <w:vertAlign w:val="superscript"/>
              </w:rPr>
              <w:t>st</w:t>
            </w:r>
          </w:p>
          <w:p w:rsidR="00F64CE9" w:rsidRPr="00F64CE9" w:rsidRDefault="00F64CE9" w:rsidP="00F64CE9">
            <w:pPr>
              <w:spacing w:before="100" w:beforeAutospacing="1" w:after="0" w:line="240" w:lineRule="auto"/>
              <w:jc w:val="center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</w:p>
        </w:tc>
      </w:tr>
      <w:tr w:rsidR="00257149" w:rsidRPr="00257149" w:rsidTr="00AE24B0">
        <w:tc>
          <w:tcPr>
            <w:tcW w:w="9360" w:type="dxa"/>
            <w:hideMark/>
          </w:tcPr>
          <w:p w:rsidR="00257149" w:rsidRPr="00257149" w:rsidRDefault="00257149" w:rsidP="00257149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</w:p>
        </w:tc>
      </w:tr>
      <w:tr w:rsidR="00257149" w:rsidRPr="00257149" w:rsidTr="00537A0D">
        <w:trPr>
          <w:trHeight w:val="80"/>
        </w:trPr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Adobe Caslon Pro" w:eastAsia="Times New Roman" w:hAnsi="Adobe Caslon Pro" w:cs="Times New Roman"/>
                <w:sz w:val="24"/>
                <w:szCs w:val="24"/>
              </w:rPr>
            </w:pPr>
          </w:p>
        </w:tc>
      </w:tr>
      <w:tr w:rsidR="00257149" w:rsidRPr="00257149" w:rsidTr="00F64CE9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149" w:rsidRPr="00257149" w:rsidTr="00F64CE9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149" w:rsidRPr="00257149" w:rsidTr="00F64CE9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149" w:rsidRPr="00257149" w:rsidTr="00AE24B0">
        <w:tc>
          <w:tcPr>
            <w:tcW w:w="9360" w:type="dxa"/>
          </w:tcPr>
          <w:p w:rsidR="00257149" w:rsidRPr="00257149" w:rsidRDefault="00257149" w:rsidP="00257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E3" w:rsidRPr="00ED7FE3" w:rsidRDefault="00ED7FE3" w:rsidP="00ED7FE3">
      <w:pPr>
        <w:jc w:val="center"/>
        <w:rPr>
          <w:sz w:val="28"/>
          <w:szCs w:val="28"/>
        </w:rPr>
      </w:pPr>
    </w:p>
    <w:sectPr w:rsidR="00ED7FE3" w:rsidRPr="00ED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2021"/>
    <w:multiLevelType w:val="hybridMultilevel"/>
    <w:tmpl w:val="6912751C"/>
    <w:lvl w:ilvl="0" w:tplc="DEEEF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36CD2"/>
    <w:multiLevelType w:val="hybridMultilevel"/>
    <w:tmpl w:val="5302CB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3"/>
    <w:rsid w:val="000D5E77"/>
    <w:rsid w:val="00257149"/>
    <w:rsid w:val="00537A0D"/>
    <w:rsid w:val="00770658"/>
    <w:rsid w:val="00872991"/>
    <w:rsid w:val="00AE24B0"/>
    <w:rsid w:val="00ED7FE3"/>
    <w:rsid w:val="00F01328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5D841-8AB2-4C20-81B0-DD45E4F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Lovell, Hollie</dc:creator>
  <cp:keywords/>
  <dc:description/>
  <cp:lastModifiedBy>Bisaillon, Darthy</cp:lastModifiedBy>
  <cp:revision>2</cp:revision>
  <cp:lastPrinted>2015-03-12T15:02:00Z</cp:lastPrinted>
  <dcterms:created xsi:type="dcterms:W3CDTF">2015-04-07T19:26:00Z</dcterms:created>
  <dcterms:modified xsi:type="dcterms:W3CDTF">2015-04-07T19:26:00Z</dcterms:modified>
</cp:coreProperties>
</file>